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66D7" w14:textId="210F2F88" w:rsidR="00376969" w:rsidRPr="00BC66DC" w:rsidRDefault="00021C9A" w:rsidP="000527C0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5414AF" w:rsidRPr="00BC66DC">
        <w:rPr>
          <w:b/>
          <w:sz w:val="32"/>
        </w:rPr>
        <w:t>Vacation, sick VS. PTO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530"/>
        <w:gridCol w:w="4590"/>
        <w:gridCol w:w="5130"/>
      </w:tblGrid>
      <w:tr w:rsidR="005414AF" w:rsidRPr="001F140F" w14:paraId="6E092AF0" w14:textId="77777777" w:rsidTr="00BC66DC">
        <w:tc>
          <w:tcPr>
            <w:tcW w:w="1530" w:type="dxa"/>
            <w:shd w:val="clear" w:color="auto" w:fill="E7E6E6" w:themeFill="background2"/>
          </w:tcPr>
          <w:p w14:paraId="4F3DB360" w14:textId="77777777" w:rsidR="005414AF" w:rsidRPr="001F140F" w:rsidRDefault="005414AF" w:rsidP="005414AF"/>
        </w:tc>
        <w:tc>
          <w:tcPr>
            <w:tcW w:w="4590" w:type="dxa"/>
            <w:shd w:val="clear" w:color="auto" w:fill="E7E6E6" w:themeFill="background2"/>
          </w:tcPr>
          <w:p w14:paraId="0D1753E7" w14:textId="77777777" w:rsidR="005414AF" w:rsidRPr="001F140F" w:rsidRDefault="005414AF" w:rsidP="00BC66DC">
            <w:pPr>
              <w:jc w:val="center"/>
            </w:pPr>
            <w:r w:rsidRPr="001F140F">
              <w:t>PTO</w:t>
            </w:r>
          </w:p>
        </w:tc>
        <w:tc>
          <w:tcPr>
            <w:tcW w:w="5130" w:type="dxa"/>
            <w:shd w:val="clear" w:color="auto" w:fill="E7E6E6" w:themeFill="background2"/>
          </w:tcPr>
          <w:p w14:paraId="52FA7938" w14:textId="77777777" w:rsidR="005414AF" w:rsidRPr="001F140F" w:rsidRDefault="005414AF" w:rsidP="00BC66DC">
            <w:pPr>
              <w:jc w:val="center"/>
            </w:pPr>
            <w:r w:rsidRPr="001F140F">
              <w:t>Vacation / Sick</w:t>
            </w:r>
          </w:p>
        </w:tc>
      </w:tr>
      <w:tr w:rsidR="005414AF" w:rsidRPr="000527C0" w14:paraId="35B5565A" w14:textId="77777777" w:rsidTr="001F140F">
        <w:tc>
          <w:tcPr>
            <w:tcW w:w="1530" w:type="dxa"/>
          </w:tcPr>
          <w:p w14:paraId="70C131F8" w14:textId="77777777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Definition</w:t>
            </w:r>
          </w:p>
        </w:tc>
        <w:tc>
          <w:tcPr>
            <w:tcW w:w="4590" w:type="dxa"/>
          </w:tcPr>
          <w:p w14:paraId="3EA6EFCE" w14:textId="11DAA10A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Paid time off </w:t>
            </w:r>
            <w:r w:rsidR="009438DF" w:rsidRPr="000527C0">
              <w:rPr>
                <w:sz w:val="21"/>
                <w:szCs w:val="21"/>
              </w:rPr>
              <w:t xml:space="preserve">typically </w:t>
            </w:r>
            <w:r w:rsidRPr="000527C0">
              <w:rPr>
                <w:sz w:val="21"/>
                <w:szCs w:val="21"/>
              </w:rPr>
              <w:t>combines all leave types into one bank (vacation, sick and personal time</w:t>
            </w:r>
            <w:r w:rsidR="00BC66DC" w:rsidRPr="000527C0">
              <w:rPr>
                <w:sz w:val="21"/>
                <w:szCs w:val="21"/>
              </w:rPr>
              <w:t>)</w:t>
            </w:r>
            <w:r w:rsidRPr="000527C0">
              <w:rPr>
                <w:sz w:val="21"/>
                <w:szCs w:val="21"/>
              </w:rPr>
              <w:t xml:space="preserve">. Typically, does </w:t>
            </w:r>
            <w:r w:rsidRPr="000527C0">
              <w:rPr>
                <w:sz w:val="21"/>
                <w:szCs w:val="21"/>
                <w:u w:val="single"/>
              </w:rPr>
              <w:t>not</w:t>
            </w:r>
            <w:r w:rsidRPr="000527C0">
              <w:rPr>
                <w:sz w:val="21"/>
                <w:szCs w:val="21"/>
              </w:rPr>
              <w:t xml:space="preserve"> include holidays, bereavement or jury duty leave. </w:t>
            </w:r>
          </w:p>
        </w:tc>
        <w:tc>
          <w:tcPr>
            <w:tcW w:w="5130" w:type="dxa"/>
          </w:tcPr>
          <w:p w14:paraId="1A98B930" w14:textId="77777777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Provides a separate bank for sick and vacation leave. Different rules and accruals may apply to each bank. </w:t>
            </w:r>
            <w:r w:rsidR="00BC66DC" w:rsidRPr="000527C0">
              <w:rPr>
                <w:sz w:val="21"/>
                <w:szCs w:val="21"/>
              </w:rPr>
              <w:t>Typically, employers allow employees to use vacation if they run out of sick but they do not allow employees to use sick time for vacation or personal reasons.</w:t>
            </w:r>
          </w:p>
          <w:p w14:paraId="254A7D4A" w14:textId="3F682D25" w:rsidR="00BC66DC" w:rsidRPr="000527C0" w:rsidRDefault="00BC66DC" w:rsidP="005414AF">
            <w:pPr>
              <w:rPr>
                <w:sz w:val="21"/>
                <w:szCs w:val="21"/>
              </w:rPr>
            </w:pPr>
          </w:p>
        </w:tc>
      </w:tr>
      <w:tr w:rsidR="005414AF" w:rsidRPr="000527C0" w14:paraId="7EE81E7B" w14:textId="77777777" w:rsidTr="001F140F">
        <w:tc>
          <w:tcPr>
            <w:tcW w:w="1530" w:type="dxa"/>
          </w:tcPr>
          <w:p w14:paraId="08BE85B4" w14:textId="77777777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Pay off at termination?</w:t>
            </w:r>
          </w:p>
        </w:tc>
        <w:tc>
          <w:tcPr>
            <w:tcW w:w="4590" w:type="dxa"/>
          </w:tcPr>
          <w:p w14:paraId="101BF70D" w14:textId="77777777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Yes, all</w:t>
            </w:r>
          </w:p>
        </w:tc>
        <w:tc>
          <w:tcPr>
            <w:tcW w:w="5130" w:type="dxa"/>
          </w:tcPr>
          <w:p w14:paraId="1BE16B17" w14:textId="77777777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Yes, vacation</w:t>
            </w:r>
          </w:p>
          <w:p w14:paraId="1140FAD8" w14:textId="77777777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No, sick</w:t>
            </w:r>
          </w:p>
          <w:p w14:paraId="31D62221" w14:textId="70052A9F" w:rsidR="00BC66DC" w:rsidRPr="000527C0" w:rsidRDefault="00BC66DC" w:rsidP="005414AF">
            <w:pPr>
              <w:rPr>
                <w:sz w:val="21"/>
                <w:szCs w:val="21"/>
              </w:rPr>
            </w:pPr>
          </w:p>
        </w:tc>
      </w:tr>
      <w:tr w:rsidR="00BC66DC" w:rsidRPr="000527C0" w14:paraId="6AF65B62" w14:textId="77777777" w:rsidTr="001F140F">
        <w:tc>
          <w:tcPr>
            <w:tcW w:w="1530" w:type="dxa"/>
          </w:tcPr>
          <w:p w14:paraId="01BFCC2F" w14:textId="4FC9CF2C" w:rsidR="00BC66DC" w:rsidRPr="000527C0" w:rsidRDefault="00BC66DC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Accrual method</w:t>
            </w:r>
          </w:p>
        </w:tc>
        <w:tc>
          <w:tcPr>
            <w:tcW w:w="4590" w:type="dxa"/>
          </w:tcPr>
          <w:p w14:paraId="4D55D656" w14:textId="292F71BF" w:rsidR="00BC66DC" w:rsidRPr="000527C0" w:rsidRDefault="00BC66DC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Various options available. Most employers accrue a portion each payroll period. Must meet </w:t>
            </w:r>
            <w:r w:rsidR="0009519C" w:rsidRPr="000527C0">
              <w:rPr>
                <w:sz w:val="21"/>
                <w:szCs w:val="21"/>
              </w:rPr>
              <w:t xml:space="preserve">CA </w:t>
            </w:r>
            <w:r w:rsidRPr="000527C0">
              <w:rPr>
                <w:sz w:val="21"/>
                <w:szCs w:val="21"/>
              </w:rPr>
              <w:t>sick requirements</w:t>
            </w:r>
            <w:r w:rsidR="00206100" w:rsidRPr="000527C0">
              <w:rPr>
                <w:sz w:val="21"/>
                <w:szCs w:val="21"/>
              </w:rPr>
              <w:t xml:space="preserve"> if providing PTO in lieu of sick</w:t>
            </w:r>
            <w:r w:rsidRPr="000527C0">
              <w:rPr>
                <w:sz w:val="21"/>
                <w:szCs w:val="21"/>
              </w:rPr>
              <w:t>.</w:t>
            </w:r>
          </w:p>
          <w:p w14:paraId="3608E02C" w14:textId="7265FADD" w:rsidR="00BC66DC" w:rsidRPr="000527C0" w:rsidRDefault="00BC66DC" w:rsidP="005414AF">
            <w:pPr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65AF0481" w14:textId="0A218527" w:rsidR="00BC66DC" w:rsidRPr="000527C0" w:rsidRDefault="008407AC" w:rsidP="00BC66DC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  <w:u w:val="single"/>
              </w:rPr>
              <w:t>Vacation</w:t>
            </w:r>
            <w:r w:rsidRPr="000527C0">
              <w:rPr>
                <w:sz w:val="21"/>
                <w:szCs w:val="21"/>
              </w:rPr>
              <w:t xml:space="preserve">: </w:t>
            </w:r>
            <w:r w:rsidR="00BC66DC" w:rsidRPr="000527C0">
              <w:rPr>
                <w:sz w:val="21"/>
                <w:szCs w:val="21"/>
              </w:rPr>
              <w:t xml:space="preserve">Various options available. Most employers accrue a portion each payroll period. </w:t>
            </w:r>
          </w:p>
          <w:p w14:paraId="42FDEDBA" w14:textId="2295DA21" w:rsidR="008407AC" w:rsidRPr="000527C0" w:rsidRDefault="008407AC" w:rsidP="00BC66DC">
            <w:pPr>
              <w:rPr>
                <w:sz w:val="21"/>
                <w:szCs w:val="21"/>
              </w:rPr>
            </w:pPr>
          </w:p>
          <w:p w14:paraId="7AAC75AC" w14:textId="1FF69B7A" w:rsidR="00BC66DC" w:rsidRPr="000527C0" w:rsidRDefault="008407AC" w:rsidP="00115FF6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  <w:u w:val="single"/>
              </w:rPr>
              <w:t>Sick:</w:t>
            </w:r>
            <w:r w:rsidRPr="000527C0">
              <w:rPr>
                <w:sz w:val="21"/>
                <w:szCs w:val="21"/>
              </w:rPr>
              <w:t xml:space="preserve"> Various options available</w:t>
            </w:r>
            <w:r w:rsidR="00810811" w:rsidRPr="000527C0">
              <w:rPr>
                <w:sz w:val="21"/>
                <w:szCs w:val="21"/>
              </w:rPr>
              <w:t xml:space="preserve"> but m</w:t>
            </w:r>
            <w:r w:rsidRPr="000527C0">
              <w:rPr>
                <w:sz w:val="21"/>
                <w:szCs w:val="21"/>
              </w:rPr>
              <w:t>ust meet CA sick requirements</w:t>
            </w:r>
            <w:r w:rsidR="00951125" w:rsidRPr="000527C0">
              <w:rPr>
                <w:sz w:val="21"/>
                <w:szCs w:val="21"/>
              </w:rPr>
              <w:t xml:space="preserve"> (or </w:t>
            </w:r>
            <w:r w:rsidR="0011707D" w:rsidRPr="000527C0">
              <w:rPr>
                <w:sz w:val="21"/>
                <w:szCs w:val="21"/>
              </w:rPr>
              <w:t>other local ordinances if they apply)</w:t>
            </w:r>
            <w:r w:rsidRPr="000527C0">
              <w:rPr>
                <w:sz w:val="21"/>
                <w:szCs w:val="21"/>
              </w:rPr>
              <w:t>.</w:t>
            </w:r>
          </w:p>
          <w:p w14:paraId="0D8CBB33" w14:textId="4DDEE2B7" w:rsidR="00115FF6" w:rsidRPr="000527C0" w:rsidRDefault="00115FF6" w:rsidP="00115FF6">
            <w:pPr>
              <w:rPr>
                <w:sz w:val="21"/>
                <w:szCs w:val="21"/>
              </w:rPr>
            </w:pPr>
          </w:p>
        </w:tc>
      </w:tr>
      <w:tr w:rsidR="005414AF" w:rsidRPr="000527C0" w14:paraId="286D6AD0" w14:textId="77777777" w:rsidTr="001F140F">
        <w:tc>
          <w:tcPr>
            <w:tcW w:w="1530" w:type="dxa"/>
          </w:tcPr>
          <w:p w14:paraId="29E6545D" w14:textId="77777777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Max bank</w:t>
            </w:r>
          </w:p>
        </w:tc>
        <w:tc>
          <w:tcPr>
            <w:tcW w:w="4590" w:type="dxa"/>
          </w:tcPr>
          <w:p w14:paraId="043F3B0C" w14:textId="77860781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Must </w:t>
            </w:r>
            <w:r w:rsidR="001F140F" w:rsidRPr="000527C0">
              <w:rPr>
                <w:sz w:val="21"/>
                <w:szCs w:val="21"/>
              </w:rPr>
              <w:t xml:space="preserve">allow employees to carry </w:t>
            </w:r>
            <w:r w:rsidRPr="000527C0">
              <w:rPr>
                <w:sz w:val="21"/>
                <w:szCs w:val="21"/>
              </w:rPr>
              <w:t>1.5X the employees annual accrual rate</w:t>
            </w:r>
            <w:r w:rsidR="001F140F" w:rsidRPr="000527C0">
              <w:rPr>
                <w:sz w:val="21"/>
                <w:szCs w:val="21"/>
              </w:rPr>
              <w:t xml:space="preserve"> in their bank</w:t>
            </w:r>
            <w:r w:rsidRPr="000527C0">
              <w:rPr>
                <w:sz w:val="21"/>
                <w:szCs w:val="21"/>
              </w:rPr>
              <w:t xml:space="preserve">. Employer may set it higher but not lower. </w:t>
            </w:r>
          </w:p>
        </w:tc>
        <w:tc>
          <w:tcPr>
            <w:tcW w:w="5130" w:type="dxa"/>
          </w:tcPr>
          <w:p w14:paraId="1E010A9E" w14:textId="0C2FE0D1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  <w:u w:val="single"/>
              </w:rPr>
              <w:t>Vacation</w:t>
            </w:r>
            <w:r w:rsidRPr="000527C0">
              <w:rPr>
                <w:sz w:val="21"/>
                <w:szCs w:val="21"/>
              </w:rPr>
              <w:t xml:space="preserve">: </w:t>
            </w:r>
            <w:r w:rsidR="00BC66DC" w:rsidRPr="000527C0">
              <w:rPr>
                <w:sz w:val="21"/>
                <w:szCs w:val="21"/>
              </w:rPr>
              <w:t xml:space="preserve">Must allow employees to carry 1.5X the employees annual accrual rate in their bank. Employer may set it higher but not lower. </w:t>
            </w:r>
          </w:p>
          <w:p w14:paraId="23D05FC9" w14:textId="77777777" w:rsidR="00BC66DC" w:rsidRPr="000527C0" w:rsidRDefault="00BC66DC" w:rsidP="005414AF">
            <w:pPr>
              <w:rPr>
                <w:sz w:val="21"/>
                <w:szCs w:val="21"/>
              </w:rPr>
            </w:pPr>
          </w:p>
          <w:p w14:paraId="35E04A42" w14:textId="07807AD8" w:rsidR="005414AF" w:rsidRPr="000527C0" w:rsidRDefault="005414A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  <w:u w:val="single"/>
              </w:rPr>
              <w:t>Sick</w:t>
            </w:r>
            <w:r w:rsidRPr="000527C0">
              <w:rPr>
                <w:sz w:val="21"/>
                <w:szCs w:val="21"/>
              </w:rPr>
              <w:t xml:space="preserve">: </w:t>
            </w:r>
            <w:r w:rsidR="00123A0D" w:rsidRPr="000527C0">
              <w:rPr>
                <w:sz w:val="21"/>
                <w:szCs w:val="21"/>
              </w:rPr>
              <w:t xml:space="preserve">Must meet CA sick requires. Depending on method selected there may be a cap. </w:t>
            </w:r>
            <w:r w:rsidR="00BC66DC" w:rsidRPr="000527C0">
              <w:rPr>
                <w:sz w:val="21"/>
                <w:szCs w:val="21"/>
              </w:rPr>
              <w:t xml:space="preserve">May set a </w:t>
            </w:r>
            <w:r w:rsidR="00123A0D" w:rsidRPr="000527C0">
              <w:rPr>
                <w:sz w:val="21"/>
                <w:szCs w:val="21"/>
              </w:rPr>
              <w:t>“</w:t>
            </w:r>
            <w:r w:rsidR="00BC66DC" w:rsidRPr="000527C0">
              <w:rPr>
                <w:sz w:val="21"/>
                <w:szCs w:val="21"/>
              </w:rPr>
              <w:t>use it or lose it policy</w:t>
            </w:r>
            <w:r w:rsidR="00123A0D" w:rsidRPr="000527C0">
              <w:rPr>
                <w:sz w:val="21"/>
                <w:szCs w:val="21"/>
              </w:rPr>
              <w:t>”</w:t>
            </w:r>
            <w:r w:rsidR="00BC66DC" w:rsidRPr="000527C0">
              <w:rPr>
                <w:sz w:val="21"/>
                <w:szCs w:val="21"/>
              </w:rPr>
              <w:t xml:space="preserve"> each year. </w:t>
            </w:r>
            <w:r w:rsidR="001F140F" w:rsidRPr="000527C0">
              <w:rPr>
                <w:sz w:val="21"/>
                <w:szCs w:val="21"/>
              </w:rPr>
              <w:t>Many employers allow some carry over from prior years</w:t>
            </w:r>
            <w:r w:rsidR="00BC66DC" w:rsidRPr="000527C0">
              <w:rPr>
                <w:sz w:val="21"/>
                <w:szCs w:val="21"/>
              </w:rPr>
              <w:t xml:space="preserve"> in case an employee has a bad health year. </w:t>
            </w:r>
            <w:r w:rsidR="0009519C" w:rsidRPr="000527C0">
              <w:rPr>
                <w:sz w:val="21"/>
                <w:szCs w:val="21"/>
              </w:rPr>
              <w:t xml:space="preserve">This also discourages using sick days when you are not sick. </w:t>
            </w:r>
          </w:p>
          <w:p w14:paraId="29010D71" w14:textId="04E3E54C" w:rsidR="00BC66DC" w:rsidRPr="000527C0" w:rsidRDefault="00BC66DC" w:rsidP="005414AF">
            <w:pPr>
              <w:rPr>
                <w:sz w:val="21"/>
                <w:szCs w:val="21"/>
              </w:rPr>
            </w:pPr>
          </w:p>
        </w:tc>
      </w:tr>
      <w:tr w:rsidR="005414AF" w:rsidRPr="000527C0" w14:paraId="45FAF830" w14:textId="77777777" w:rsidTr="001F140F">
        <w:tc>
          <w:tcPr>
            <w:tcW w:w="1530" w:type="dxa"/>
          </w:tcPr>
          <w:p w14:paraId="08A78156" w14:textId="25A20196" w:rsidR="005414AF" w:rsidRPr="000527C0" w:rsidRDefault="001F140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Benefits of this method</w:t>
            </w:r>
          </w:p>
        </w:tc>
        <w:tc>
          <w:tcPr>
            <w:tcW w:w="4590" w:type="dxa"/>
          </w:tcPr>
          <w:p w14:paraId="44297CA6" w14:textId="2C06B58B" w:rsidR="001F140F" w:rsidRPr="000527C0" w:rsidRDefault="001F140F" w:rsidP="001F140F">
            <w:pPr>
              <w:pStyle w:val="ListParagraph"/>
              <w:numPr>
                <w:ilvl w:val="0"/>
                <w:numId w:val="2"/>
              </w:numPr>
              <w:ind w:left="254" w:hanging="254"/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Employees tend to prefer it. </w:t>
            </w:r>
          </w:p>
          <w:p w14:paraId="78BD8323" w14:textId="6BDACE4E" w:rsidR="005414AF" w:rsidRPr="000527C0" w:rsidRDefault="001F140F" w:rsidP="001F140F">
            <w:pPr>
              <w:pStyle w:val="ListParagraph"/>
              <w:numPr>
                <w:ilvl w:val="0"/>
                <w:numId w:val="2"/>
              </w:numPr>
              <w:ind w:left="254" w:hanging="254"/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Since you only have one bank, it is easier to track.</w:t>
            </w:r>
          </w:p>
          <w:p w14:paraId="51B86BDD" w14:textId="77777777" w:rsidR="001F140F" w:rsidRPr="000527C0" w:rsidRDefault="001F140F" w:rsidP="001F140F">
            <w:pPr>
              <w:pStyle w:val="ListParagraph"/>
              <w:numPr>
                <w:ilvl w:val="0"/>
                <w:numId w:val="2"/>
              </w:numPr>
              <w:ind w:left="254" w:hanging="254"/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Employees have flexibility in how they use their time. If they never get sick they can use it all for vacation. If they have a really bad health year they can take use it all for sick time. </w:t>
            </w:r>
          </w:p>
          <w:p w14:paraId="1D197691" w14:textId="03A725B6" w:rsidR="00BC66DC" w:rsidRPr="000527C0" w:rsidRDefault="00BC66DC" w:rsidP="001F140F">
            <w:pPr>
              <w:pStyle w:val="ListParagraph"/>
              <w:numPr>
                <w:ilvl w:val="0"/>
                <w:numId w:val="2"/>
              </w:numPr>
              <w:ind w:left="254" w:hanging="254"/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A properly designed PTO policy will still comply with CA sick leave requirements and you will NOT be required to over both</w:t>
            </w:r>
            <w:r w:rsidR="0041688E" w:rsidRPr="000527C0">
              <w:rPr>
                <w:sz w:val="21"/>
                <w:szCs w:val="21"/>
              </w:rPr>
              <w:t xml:space="preserve">. </w:t>
            </w:r>
            <w:r w:rsidRPr="000527C0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30" w:type="dxa"/>
          </w:tcPr>
          <w:p w14:paraId="74E66699" w14:textId="504FF02C" w:rsidR="005414AF" w:rsidRPr="000527C0" w:rsidRDefault="00BC66DC" w:rsidP="001F140F">
            <w:pPr>
              <w:pStyle w:val="ListParagraph"/>
              <w:ind w:left="0"/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Smaller liability. </w:t>
            </w:r>
            <w:r w:rsidR="001F140F" w:rsidRPr="000527C0">
              <w:rPr>
                <w:sz w:val="21"/>
                <w:szCs w:val="21"/>
              </w:rPr>
              <w:t>When an employee terminates you only have to pay off the vacation bank. Sick is not required.</w:t>
            </w:r>
          </w:p>
        </w:tc>
      </w:tr>
      <w:tr w:rsidR="005414AF" w:rsidRPr="000527C0" w14:paraId="384DAB4A" w14:textId="77777777" w:rsidTr="001F140F">
        <w:tc>
          <w:tcPr>
            <w:tcW w:w="1530" w:type="dxa"/>
          </w:tcPr>
          <w:p w14:paraId="481025F9" w14:textId="4821FF61" w:rsidR="005414AF" w:rsidRPr="000527C0" w:rsidRDefault="001F140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Drawbacks</w:t>
            </w:r>
          </w:p>
        </w:tc>
        <w:tc>
          <w:tcPr>
            <w:tcW w:w="4590" w:type="dxa"/>
          </w:tcPr>
          <w:p w14:paraId="2429F13B" w14:textId="77777777" w:rsidR="005414AF" w:rsidRPr="000527C0" w:rsidRDefault="001F140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At termination all PTO must be paid off. </w:t>
            </w:r>
          </w:p>
          <w:p w14:paraId="5083000C" w14:textId="39EB900F" w:rsidR="00284687" w:rsidRPr="000527C0" w:rsidRDefault="00284687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Must allow</w:t>
            </w:r>
            <w:r w:rsidR="00AA46E2" w:rsidRPr="000527C0">
              <w:rPr>
                <w:sz w:val="21"/>
                <w:szCs w:val="21"/>
              </w:rPr>
              <w:t xml:space="preserve"> a cap of 1.5X the accrual rate. </w:t>
            </w:r>
          </w:p>
          <w:p w14:paraId="349171AC" w14:textId="0BD317D6" w:rsidR="00B658D6" w:rsidRPr="000527C0" w:rsidRDefault="00B658D6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Can be </w:t>
            </w:r>
            <w:r w:rsidR="0041688E" w:rsidRPr="000527C0">
              <w:rPr>
                <w:sz w:val="21"/>
                <w:szCs w:val="21"/>
              </w:rPr>
              <w:t xml:space="preserve">very </w:t>
            </w:r>
            <w:r w:rsidRPr="000527C0">
              <w:rPr>
                <w:sz w:val="21"/>
                <w:szCs w:val="21"/>
              </w:rPr>
              <w:t>challenging to create a PTO polic</w:t>
            </w:r>
            <w:r w:rsidR="00AA46E2" w:rsidRPr="000527C0">
              <w:rPr>
                <w:sz w:val="21"/>
                <w:szCs w:val="21"/>
              </w:rPr>
              <w:t>y</w:t>
            </w:r>
            <w:r w:rsidRPr="000527C0">
              <w:rPr>
                <w:sz w:val="21"/>
                <w:szCs w:val="21"/>
              </w:rPr>
              <w:t xml:space="preserve"> that meets both the CA Sick leave requirements and PTO </w:t>
            </w:r>
            <w:r w:rsidR="00350229" w:rsidRPr="000527C0">
              <w:rPr>
                <w:sz w:val="21"/>
                <w:szCs w:val="21"/>
              </w:rPr>
              <w:t xml:space="preserve">requirements. </w:t>
            </w:r>
          </w:p>
          <w:p w14:paraId="26585F2B" w14:textId="77777777" w:rsidR="00E60DCD" w:rsidRPr="000527C0" w:rsidRDefault="00E60DCD" w:rsidP="005414AF">
            <w:pPr>
              <w:rPr>
                <w:sz w:val="21"/>
                <w:szCs w:val="21"/>
              </w:rPr>
            </w:pPr>
          </w:p>
          <w:p w14:paraId="2E8DA7CF" w14:textId="3C275732" w:rsidR="00E60DCD" w:rsidRPr="000527C0" w:rsidRDefault="00E60DCD" w:rsidP="005414AF">
            <w:pPr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2B685CCF" w14:textId="2BC401FC" w:rsidR="005414AF" w:rsidRPr="000527C0" w:rsidRDefault="001F140F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Employees sometimes call in “sick”</w:t>
            </w:r>
            <w:r w:rsidR="006124E7" w:rsidRPr="000527C0">
              <w:rPr>
                <w:sz w:val="21"/>
                <w:szCs w:val="21"/>
              </w:rPr>
              <w:t xml:space="preserve"> </w:t>
            </w:r>
            <w:r w:rsidRPr="000527C0">
              <w:rPr>
                <w:sz w:val="21"/>
                <w:szCs w:val="21"/>
              </w:rPr>
              <w:t xml:space="preserve">when they are not (since they do not want to lose their time). This leaves you in a bind because you can’t plan ahead. </w:t>
            </w:r>
          </w:p>
          <w:p w14:paraId="7A60AB48" w14:textId="77777777" w:rsidR="004C76F3" w:rsidRPr="000527C0" w:rsidRDefault="00BC66DC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It also p</w:t>
            </w:r>
            <w:r w:rsidR="001F140F" w:rsidRPr="000527C0">
              <w:rPr>
                <w:sz w:val="21"/>
                <w:szCs w:val="21"/>
              </w:rPr>
              <w:t>unishes your “best” employees who don’t call in sick because they lose their time</w:t>
            </w:r>
            <w:r w:rsidRPr="000527C0">
              <w:rPr>
                <w:sz w:val="21"/>
                <w:szCs w:val="21"/>
              </w:rPr>
              <w:t xml:space="preserve"> (if that is your policy)</w:t>
            </w:r>
            <w:r w:rsidR="001F140F" w:rsidRPr="000527C0">
              <w:rPr>
                <w:sz w:val="21"/>
                <w:szCs w:val="21"/>
              </w:rPr>
              <w:t>.</w:t>
            </w:r>
          </w:p>
          <w:p w14:paraId="01BB38CD" w14:textId="77777777" w:rsidR="004C76F3" w:rsidRPr="000527C0" w:rsidRDefault="004C76F3" w:rsidP="005414AF">
            <w:pPr>
              <w:rPr>
                <w:sz w:val="21"/>
                <w:szCs w:val="21"/>
              </w:rPr>
            </w:pPr>
          </w:p>
          <w:p w14:paraId="0B6B8EB0" w14:textId="457022D6" w:rsidR="001F140F" w:rsidRPr="000527C0" w:rsidRDefault="004C76F3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Sick must be paid </w:t>
            </w:r>
            <w:r w:rsidR="00C35CBF" w:rsidRPr="000527C0">
              <w:rPr>
                <w:sz w:val="21"/>
                <w:szCs w:val="21"/>
              </w:rPr>
              <w:t>at “regular rate”</w:t>
            </w:r>
            <w:r w:rsidR="003A2AA6" w:rsidRPr="000527C0">
              <w:rPr>
                <w:sz w:val="21"/>
                <w:szCs w:val="21"/>
              </w:rPr>
              <w:t xml:space="preserve">. For </w:t>
            </w:r>
            <w:r w:rsidR="009406A0" w:rsidRPr="000527C0">
              <w:rPr>
                <w:sz w:val="21"/>
                <w:szCs w:val="21"/>
              </w:rPr>
              <w:t xml:space="preserve">commissioned employees </w:t>
            </w:r>
            <w:r w:rsidR="003A2AA6" w:rsidRPr="000527C0">
              <w:rPr>
                <w:sz w:val="21"/>
                <w:szCs w:val="21"/>
              </w:rPr>
              <w:t>this mean</w:t>
            </w:r>
            <w:r w:rsidR="009406A0" w:rsidRPr="000527C0">
              <w:rPr>
                <w:sz w:val="21"/>
                <w:szCs w:val="21"/>
              </w:rPr>
              <w:t>s</w:t>
            </w:r>
            <w:r w:rsidR="003A2AA6" w:rsidRPr="000527C0">
              <w:rPr>
                <w:sz w:val="21"/>
                <w:szCs w:val="21"/>
              </w:rPr>
              <w:t xml:space="preserve"> calculating their rate with </w:t>
            </w:r>
            <w:r w:rsidR="00FB33FD" w:rsidRPr="000527C0">
              <w:rPr>
                <w:sz w:val="21"/>
                <w:szCs w:val="21"/>
              </w:rPr>
              <w:t>commissions</w:t>
            </w:r>
            <w:r w:rsidR="00D06D2C" w:rsidRPr="000527C0">
              <w:rPr>
                <w:sz w:val="21"/>
                <w:szCs w:val="21"/>
              </w:rPr>
              <w:t xml:space="preserve"> taken into account</w:t>
            </w:r>
            <w:r w:rsidR="00FB33FD" w:rsidRPr="000527C0">
              <w:rPr>
                <w:sz w:val="21"/>
                <w:szCs w:val="21"/>
              </w:rPr>
              <w:t xml:space="preserve">. </w:t>
            </w:r>
            <w:r w:rsidR="001F140F" w:rsidRPr="000527C0">
              <w:rPr>
                <w:sz w:val="21"/>
                <w:szCs w:val="21"/>
              </w:rPr>
              <w:t xml:space="preserve"> </w:t>
            </w:r>
          </w:p>
        </w:tc>
      </w:tr>
      <w:tr w:rsidR="001F140F" w:rsidRPr="000527C0" w14:paraId="7AC03108" w14:textId="77777777" w:rsidTr="00010EAA">
        <w:tc>
          <w:tcPr>
            <w:tcW w:w="1530" w:type="dxa"/>
          </w:tcPr>
          <w:p w14:paraId="27B42CCD" w14:textId="042B3496" w:rsidR="001F140F" w:rsidRPr="000527C0" w:rsidRDefault="00BC66DC" w:rsidP="005414AF">
            <w:p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Notes</w:t>
            </w:r>
          </w:p>
        </w:tc>
        <w:tc>
          <w:tcPr>
            <w:tcW w:w="9720" w:type="dxa"/>
            <w:gridSpan w:val="2"/>
          </w:tcPr>
          <w:p w14:paraId="04EE67A4" w14:textId="77777777" w:rsidR="001F140F" w:rsidRPr="000527C0" w:rsidRDefault="001F140F" w:rsidP="00211E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>Company policy still dictates many aspects of these leaves – for example if you decide to allow people to go negative</w:t>
            </w:r>
            <w:r w:rsidR="00211E7D" w:rsidRPr="000527C0">
              <w:rPr>
                <w:sz w:val="21"/>
                <w:szCs w:val="21"/>
              </w:rPr>
              <w:t xml:space="preserve">, your annual amount, accrual method and others. </w:t>
            </w:r>
          </w:p>
          <w:p w14:paraId="679709CD" w14:textId="77777777" w:rsidR="00350229" w:rsidRPr="000527C0" w:rsidRDefault="00350229" w:rsidP="00211E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There are over 20 cities and municipalities that have their own </w:t>
            </w:r>
            <w:r w:rsidR="005C40F7" w:rsidRPr="000527C0">
              <w:rPr>
                <w:sz w:val="21"/>
                <w:szCs w:val="21"/>
              </w:rPr>
              <w:t>sick requirements</w:t>
            </w:r>
            <w:r w:rsidR="00375532" w:rsidRPr="000527C0">
              <w:rPr>
                <w:sz w:val="21"/>
                <w:szCs w:val="21"/>
              </w:rPr>
              <w:t xml:space="preserve"> (usually providing </w:t>
            </w:r>
            <w:r w:rsidR="006069B1" w:rsidRPr="000527C0">
              <w:rPr>
                <w:sz w:val="21"/>
                <w:szCs w:val="21"/>
              </w:rPr>
              <w:t>more sick time than the California PSL)</w:t>
            </w:r>
            <w:r w:rsidR="005C40F7" w:rsidRPr="000527C0">
              <w:rPr>
                <w:sz w:val="21"/>
                <w:szCs w:val="21"/>
              </w:rPr>
              <w:t xml:space="preserve">. </w:t>
            </w:r>
          </w:p>
          <w:p w14:paraId="731EAC2D" w14:textId="35111D9F" w:rsidR="0041688E" w:rsidRPr="000527C0" w:rsidRDefault="0041688E" w:rsidP="00211E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0527C0">
              <w:rPr>
                <w:sz w:val="21"/>
                <w:szCs w:val="21"/>
              </w:rPr>
              <w:t xml:space="preserve">The decision to implement PTO vs. Sick (and possibly vacation) </w:t>
            </w:r>
            <w:r w:rsidR="00B448AF" w:rsidRPr="000527C0">
              <w:rPr>
                <w:sz w:val="21"/>
                <w:szCs w:val="21"/>
              </w:rPr>
              <w:t>depends on the type of business and employees a business has. One solution is not best for all</w:t>
            </w:r>
            <w:r w:rsidR="00061143" w:rsidRPr="000527C0">
              <w:rPr>
                <w:sz w:val="21"/>
                <w:szCs w:val="21"/>
              </w:rPr>
              <w:t>.</w:t>
            </w:r>
          </w:p>
        </w:tc>
      </w:tr>
    </w:tbl>
    <w:p w14:paraId="3A25F552" w14:textId="70E4CD50" w:rsidR="005414AF" w:rsidRPr="000527C0" w:rsidRDefault="005414AF" w:rsidP="000527C0">
      <w:pPr>
        <w:rPr>
          <w:sz w:val="21"/>
          <w:szCs w:val="21"/>
        </w:rPr>
      </w:pPr>
    </w:p>
    <w:sectPr w:rsidR="005414AF" w:rsidRPr="000527C0" w:rsidSect="00D101A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61EE"/>
    <w:multiLevelType w:val="hybridMultilevel"/>
    <w:tmpl w:val="50D211D4"/>
    <w:lvl w:ilvl="0" w:tplc="F5FC5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26E0"/>
    <w:multiLevelType w:val="hybridMultilevel"/>
    <w:tmpl w:val="1C9E1D3C"/>
    <w:lvl w:ilvl="0" w:tplc="89668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1322"/>
    <w:multiLevelType w:val="hybridMultilevel"/>
    <w:tmpl w:val="8D3CBF26"/>
    <w:lvl w:ilvl="0" w:tplc="89668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AF"/>
    <w:rsid w:val="0000290A"/>
    <w:rsid w:val="00021C9A"/>
    <w:rsid w:val="000527C0"/>
    <w:rsid w:val="00061143"/>
    <w:rsid w:val="0009519C"/>
    <w:rsid w:val="00115FF6"/>
    <w:rsid w:val="0011707D"/>
    <w:rsid w:val="00123A0D"/>
    <w:rsid w:val="001F140F"/>
    <w:rsid w:val="00206100"/>
    <w:rsid w:val="00211E7D"/>
    <w:rsid w:val="00284687"/>
    <w:rsid w:val="00337938"/>
    <w:rsid w:val="00350229"/>
    <w:rsid w:val="00375532"/>
    <w:rsid w:val="00376969"/>
    <w:rsid w:val="003A2AA6"/>
    <w:rsid w:val="0041688E"/>
    <w:rsid w:val="004C76F3"/>
    <w:rsid w:val="0053406A"/>
    <w:rsid w:val="005414AF"/>
    <w:rsid w:val="00560D19"/>
    <w:rsid w:val="005C40F7"/>
    <w:rsid w:val="00603B0B"/>
    <w:rsid w:val="006069B1"/>
    <w:rsid w:val="006124E7"/>
    <w:rsid w:val="00713AA8"/>
    <w:rsid w:val="00810811"/>
    <w:rsid w:val="008407AC"/>
    <w:rsid w:val="009406A0"/>
    <w:rsid w:val="009438DF"/>
    <w:rsid w:val="00947B22"/>
    <w:rsid w:val="00951125"/>
    <w:rsid w:val="009A55A3"/>
    <w:rsid w:val="009C1872"/>
    <w:rsid w:val="00AA46E2"/>
    <w:rsid w:val="00B1580E"/>
    <w:rsid w:val="00B448AF"/>
    <w:rsid w:val="00B658D6"/>
    <w:rsid w:val="00BA1139"/>
    <w:rsid w:val="00BC66DC"/>
    <w:rsid w:val="00C35CBF"/>
    <w:rsid w:val="00CC2BFE"/>
    <w:rsid w:val="00CF34AA"/>
    <w:rsid w:val="00D06D2C"/>
    <w:rsid w:val="00D101AD"/>
    <w:rsid w:val="00D6725C"/>
    <w:rsid w:val="00D8454E"/>
    <w:rsid w:val="00E449B2"/>
    <w:rsid w:val="00E53324"/>
    <w:rsid w:val="00E60DCD"/>
    <w:rsid w:val="00F23F87"/>
    <w:rsid w:val="00F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DF66"/>
  <w15:chartTrackingRefBased/>
  <w15:docId w15:val="{63E03729-1CF7-4159-A529-33DEA894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Heading1"/>
    <w:link w:val="SectionsChar"/>
    <w:autoRedefine/>
    <w:qFormat/>
    <w:rsid w:val="00E53324"/>
    <w:pPr>
      <w:keepLines w:val="0"/>
      <w:shd w:val="clear" w:color="auto" w:fill="7F7F7F" w:themeFill="text1" w:themeFillTint="80"/>
      <w:spacing w:before="120" w:line="600" w:lineRule="auto"/>
      <w:jc w:val="both"/>
    </w:pPr>
    <w:rPr>
      <w:rFonts w:ascii="Arial" w:eastAsia="Arial" w:hAnsi="Arial" w:cs="Arial"/>
      <w:b/>
      <w:bCs/>
      <w:color w:val="FFFFFF" w:themeColor="background1"/>
      <w:sz w:val="28"/>
    </w:rPr>
  </w:style>
  <w:style w:type="character" w:customStyle="1" w:styleId="SectionsChar">
    <w:name w:val="Sections Char"/>
    <w:basedOn w:val="Heading1Char"/>
    <w:link w:val="Sections"/>
    <w:rsid w:val="00E53324"/>
    <w:rPr>
      <w:rFonts w:ascii="Arial" w:eastAsia="Arial" w:hAnsi="Arial" w:cs="Arial"/>
      <w:b/>
      <w:bCs/>
      <w:color w:val="FFFFFF" w:themeColor="background1"/>
      <w:sz w:val="28"/>
      <w:szCs w:val="32"/>
      <w:shd w:val="clear" w:color="auto" w:fill="7F7F7F" w:themeFill="text1" w:themeFillTint="80"/>
    </w:rPr>
  </w:style>
  <w:style w:type="character" w:customStyle="1" w:styleId="Heading1Char">
    <w:name w:val="Heading 1 Char"/>
    <w:basedOn w:val="DefaultParagraphFont"/>
    <w:link w:val="Heading1"/>
    <w:uiPriority w:val="9"/>
    <w:rsid w:val="00E533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Henderson</dc:creator>
  <cp:keywords/>
  <dc:description/>
  <cp:lastModifiedBy>Laura Henderson</cp:lastModifiedBy>
  <cp:revision>2</cp:revision>
  <dcterms:created xsi:type="dcterms:W3CDTF">2020-09-15T16:55:00Z</dcterms:created>
  <dcterms:modified xsi:type="dcterms:W3CDTF">2020-09-15T16:55:00Z</dcterms:modified>
</cp:coreProperties>
</file>